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D9D9D9" w:themeFill="background1" w:themeFillShade="D9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Bon de demande d’Immunophénotypage </w:t>
      </w:r>
    </w:p>
    <w:p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à joindre OBLIGATOIREMENT avec le bon de commande</w:t>
      </w:r>
    </w:p>
    <w:p>
      <w:pPr>
        <w:jc w:val="both"/>
        <w:rPr>
          <w:i/>
          <w:sz w:val="24"/>
          <w:szCs w:val="24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5180"/>
        <w:gridCol w:w="5026"/>
      </w:tblGrid>
      <w:tr>
        <w:tc>
          <w:tcPr>
            <w:tcW w:w="5180" w:type="dxa"/>
          </w:tcPr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u w:val="single"/>
              </w:rPr>
              <w:t>Expéditeur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Service prescripteur :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Médecin prescripteur :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 xml:space="preserve">Tél :                                        Fax : 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Mail :</w:t>
            </w:r>
          </w:p>
        </w:tc>
        <w:tc>
          <w:tcPr>
            <w:tcW w:w="5026" w:type="dxa"/>
          </w:tcPr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u w:val="single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u w:val="single"/>
              </w:rPr>
              <w:t>Patients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Nom :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Prénom :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Date de naissance :</w:t>
            </w: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Sexe :</w:t>
            </w:r>
          </w:p>
        </w:tc>
      </w:tr>
      <w:tr>
        <w:tc>
          <w:tcPr>
            <w:tcW w:w="10206" w:type="dxa"/>
            <w:gridSpan w:val="2"/>
          </w:tcPr>
          <w:p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 à contacter pour communiquer les résultats en urgence </w:t>
            </w:r>
            <w:r>
              <w:rPr>
                <w:b/>
                <w:i/>
                <w:sz w:val="24"/>
                <w:szCs w:val="24"/>
              </w:rPr>
              <w:t>(si différente du prescripteur)</w:t>
            </w:r>
            <w:r>
              <w:rPr>
                <w:sz w:val="24"/>
                <w:szCs w:val="24"/>
              </w:rPr>
              <w:t>.</w:t>
            </w:r>
          </w:p>
          <w:p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708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NOM :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  <w:t>Prénom :</w:t>
            </w:r>
          </w:p>
          <w:p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2"/>
                <w:szCs w:val="12"/>
              </w:rPr>
            </w:pPr>
          </w:p>
          <w:p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708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 xml:space="preserve">Tél :                                    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  <w:t xml:space="preserve">   Fax :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ab/>
              <w:t>Mail :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b/>
          <w:sz w:val="28"/>
          <w:szCs w:val="24"/>
        </w:rPr>
        <w:t>Examens demandés</w:t>
      </w:r>
      <w:r>
        <w:rPr>
          <w:b/>
          <w:sz w:val="24"/>
          <w:szCs w:val="24"/>
        </w:rPr>
        <w:t> </w:t>
      </w:r>
      <w:r>
        <w:rPr>
          <w:i/>
          <w:sz w:val="24"/>
          <w:szCs w:val="24"/>
        </w:rPr>
        <w:t>(cocher la case nécessaire):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18"/>
          <w:szCs w:val="18"/>
        </w:rPr>
      </w:pPr>
      <w:r>
        <w:rPr>
          <w:sz w:val="40"/>
          <w:szCs w:val="24"/>
        </w:rPr>
        <w:t xml:space="preserve">□ </w:t>
      </w:r>
      <w:r>
        <w:rPr>
          <w:sz w:val="22"/>
          <w:szCs w:val="22"/>
        </w:rPr>
        <w:t xml:space="preserve">Sous-populations lymphocytaires T, B et NK </w:t>
      </w:r>
      <w:r>
        <w:rPr>
          <w:b/>
          <w:sz w:val="18"/>
          <w:szCs w:val="18"/>
        </w:rPr>
        <w:t>(code CHV: TBNK)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18"/>
          <w:szCs w:val="18"/>
        </w:rPr>
      </w:pPr>
      <w:bookmarkStart w:id="0" w:name="_GoBack"/>
      <w:r>
        <w:rPr>
          <w:sz w:val="40"/>
          <w:szCs w:val="24"/>
        </w:rPr>
        <w:t>□</w:t>
      </w:r>
      <w:r>
        <w:rPr>
          <w:sz w:val="40"/>
          <w:szCs w:val="24"/>
        </w:rPr>
        <w:tab/>
      </w:r>
      <w:r>
        <w:rPr>
          <w:sz w:val="22"/>
          <w:szCs w:val="22"/>
        </w:rPr>
        <w:t xml:space="preserve">Suivi des lymphocytes B CD19+ (patient sous anti CD20) </w:t>
      </w:r>
      <w:r>
        <w:rPr>
          <w:b/>
          <w:sz w:val="18"/>
          <w:szCs w:val="18"/>
        </w:rPr>
        <w:t>(code CHV: TBNK)</w:t>
      </w:r>
    </w:p>
    <w:bookmarkEnd w:id="0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Recherche d’hémopathies :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7" w:hanging="357"/>
        <w:jc w:val="both"/>
        <w:rPr>
          <w:sz w:val="22"/>
          <w:szCs w:val="22"/>
        </w:rPr>
      </w:pPr>
      <w:r>
        <w:rPr>
          <w:sz w:val="40"/>
          <w:szCs w:val="24"/>
        </w:rPr>
        <w:t>□</w:t>
      </w:r>
      <w:r>
        <w:rPr>
          <w:sz w:val="22"/>
          <w:szCs w:val="22"/>
        </w:rPr>
        <w:t xml:space="preserve"> Sous-populations lymphocytaires T, B et NK et analyse de la monotypie kappa/lambda </w:t>
      </w:r>
      <w:r>
        <w:rPr>
          <w:b/>
          <w:sz w:val="18"/>
          <w:szCs w:val="18"/>
        </w:rPr>
        <w:t>(code CHV: LYOT)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7" w:hanging="357"/>
        <w:jc w:val="both"/>
        <w:rPr>
          <w:sz w:val="22"/>
          <w:szCs w:val="22"/>
        </w:rPr>
      </w:pPr>
      <w:r>
        <w:rPr>
          <w:sz w:val="40"/>
          <w:szCs w:val="24"/>
        </w:rPr>
        <w:t>□</w:t>
      </w:r>
      <w:r>
        <w:rPr>
          <w:sz w:val="22"/>
          <w:szCs w:val="22"/>
        </w:rPr>
        <w:t xml:space="preserve"> Typage suspicion d’hémopathie lymphoïde B (LLC…) </w:t>
      </w:r>
      <w:r>
        <w:rPr>
          <w:b/>
          <w:sz w:val="18"/>
          <w:szCs w:val="18"/>
        </w:rPr>
        <w:t>(code CHV: BLLC)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7" w:hanging="357"/>
        <w:jc w:val="both"/>
        <w:rPr>
          <w:sz w:val="18"/>
          <w:szCs w:val="18"/>
        </w:rPr>
      </w:pPr>
      <w:r>
        <w:rPr>
          <w:sz w:val="40"/>
          <w:szCs w:val="24"/>
        </w:rPr>
        <w:t>□</w:t>
      </w:r>
      <w:r>
        <w:rPr>
          <w:sz w:val="22"/>
          <w:szCs w:val="22"/>
        </w:rPr>
        <w:t xml:space="preserve"> Typage suspicion d’hémopathie lymphoïde T (LGL, hyperéosinophilie, LNH T…) </w:t>
      </w:r>
      <w:r>
        <w:rPr>
          <w:b/>
          <w:sz w:val="18"/>
          <w:szCs w:val="18"/>
        </w:rPr>
        <w:t>(code CHV: LYMPHT)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7" w:hanging="357"/>
        <w:jc w:val="both"/>
        <w:rPr>
          <w:sz w:val="18"/>
          <w:szCs w:val="18"/>
        </w:rPr>
      </w:pPr>
      <w:r>
        <w:rPr>
          <w:sz w:val="40"/>
          <w:szCs w:val="24"/>
        </w:rPr>
        <w:t>□</w:t>
      </w:r>
      <w:r>
        <w:rPr>
          <w:sz w:val="22"/>
          <w:szCs w:val="22"/>
        </w:rPr>
        <w:t xml:space="preserve"> Typage des monocytes circulants (suspicion LMMC, sur sang uniquement) </w:t>
      </w:r>
      <w:r>
        <w:rPr>
          <w:b/>
          <w:sz w:val="18"/>
          <w:szCs w:val="18"/>
        </w:rPr>
        <w:t>(code CHV: BMONO)</w:t>
      </w:r>
    </w:p>
    <w:p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357" w:hanging="357"/>
        <w:jc w:val="both"/>
        <w:rPr>
          <w:sz w:val="18"/>
          <w:szCs w:val="18"/>
        </w:rPr>
      </w:pPr>
      <w:r>
        <w:rPr>
          <w:sz w:val="40"/>
          <w:szCs w:val="24"/>
        </w:rPr>
        <w:t>□</w:t>
      </w:r>
      <w:r>
        <w:rPr>
          <w:sz w:val="22"/>
          <w:szCs w:val="22"/>
        </w:rPr>
        <w:t xml:space="preserve"> Typage de leucémie aigüe </w:t>
      </w:r>
      <w:r>
        <w:rPr>
          <w:b/>
          <w:sz w:val="18"/>
          <w:szCs w:val="18"/>
        </w:rPr>
        <w:t>(code CHV: BLA)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8"/>
          <w:szCs w:val="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Prélèvement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et heure du prélèvement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18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 xml:space="preserve">Sang </w:t>
      </w:r>
      <w:r>
        <w:rPr>
          <w:sz w:val="18"/>
          <w:szCs w:val="24"/>
        </w:rPr>
        <w:t>(1 tube EDTA)</w:t>
      </w:r>
      <w:r>
        <w:rPr>
          <w:sz w:val="24"/>
          <w:szCs w:val="24"/>
        </w:rPr>
        <w:tab/>
        <w:t xml:space="preserve">     </w:t>
      </w: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 xml:space="preserve">Moelle </w:t>
      </w:r>
      <w:r>
        <w:rPr>
          <w:sz w:val="18"/>
          <w:szCs w:val="24"/>
        </w:rPr>
        <w:t xml:space="preserve">(1 tube EDTA)          </w:t>
      </w: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 xml:space="preserve">LCR </w:t>
      </w:r>
      <w:r>
        <w:rPr>
          <w:sz w:val="18"/>
          <w:szCs w:val="24"/>
        </w:rPr>
        <w:t>(Envoi obligatoire dans un tube Transfix)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 xml:space="preserve">Ganglion </w:t>
      </w:r>
      <w:r>
        <w:rPr>
          <w:sz w:val="18"/>
          <w:szCs w:val="24"/>
        </w:rPr>
        <w:t>(dans PBS ou RPMI/SVF fourni par le laboratoire de cytogénétique du CHV)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Autre liquide de ponction, à préciser : …………………………..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Transport :   </w:t>
      </w:r>
      <w:r>
        <w:rPr>
          <w:sz w:val="24"/>
          <w:szCs w:val="24"/>
        </w:rPr>
        <w:t>Température ambiante. Délai maximum d’acheminement au laboratoire du CHV : 24h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Dépôt au CHV impératif avant 13h le vendredi ou veille de jour férié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8"/>
          <w:szCs w:val="8"/>
        </w:rPr>
      </w:pPr>
    </w:p>
    <w:p>
      <w:pPr>
        <w:jc w:val="both"/>
        <w:rPr>
          <w:sz w:val="24"/>
          <w:szCs w:val="24"/>
        </w:rPr>
      </w:pPr>
    </w:p>
    <w:p>
      <w:pPr>
        <w:shd w:val="clear" w:color="auto" w:fill="D9D9D9" w:themeFill="background1" w:themeFillShade="D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Renseignements médicaux </w:t>
      </w:r>
      <w:r>
        <w:rPr>
          <w:sz w:val="28"/>
          <w:szCs w:val="24"/>
        </w:rPr>
        <w:t>motivant la demande de l’examen et le degré d’urgence OBLIGATOIRES</w:t>
      </w:r>
    </w:p>
    <w:p>
      <w:pPr>
        <w:jc w:val="both"/>
        <w:rPr>
          <w:sz w:val="24"/>
          <w:szCs w:val="24"/>
        </w:rPr>
      </w:pP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Diagnostic d’hémopathie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 xml:space="preserve">Suivi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40"/>
          <w:szCs w:val="24"/>
        </w:rPr>
        <w:t xml:space="preserve">□ </w:t>
      </w:r>
      <w:r>
        <w:rPr>
          <w:sz w:val="24"/>
          <w:szCs w:val="24"/>
        </w:rPr>
        <w:t>suivi traitement anti CD20</w:t>
      </w:r>
    </w:p>
    <w:p>
      <w:pPr>
        <w:jc w:val="both"/>
        <w:rPr>
          <w:b/>
          <w:sz w:val="16"/>
          <w:szCs w:val="16"/>
        </w:rPr>
      </w:pPr>
    </w:p>
    <w:p>
      <w:pPr>
        <w:jc w:val="both"/>
        <w:rPr>
          <w:sz w:val="32"/>
          <w:szCs w:val="24"/>
        </w:rPr>
      </w:pPr>
      <w:r>
        <w:rPr>
          <w:b/>
          <w:sz w:val="28"/>
          <w:szCs w:val="28"/>
        </w:rPr>
        <w:t>Contexte clinique :</w:t>
      </w:r>
      <w:r>
        <w:rPr>
          <w:b/>
          <w:sz w:val="32"/>
          <w:szCs w:val="24"/>
        </w:rPr>
        <w:t xml:space="preserve"> </w:t>
      </w:r>
      <w:r>
        <w:rPr>
          <w:sz w:val="32"/>
          <w:szCs w:val="24"/>
        </w:rPr>
        <w:t>…………………………………………………………….....</w:t>
      </w:r>
    </w:p>
    <w:p>
      <w:pPr>
        <w:jc w:val="both"/>
        <w:rPr>
          <w:sz w:val="32"/>
          <w:szCs w:val="24"/>
        </w:rPr>
      </w:pPr>
      <w:r>
        <w:rPr>
          <w:sz w:val="32"/>
          <w:szCs w:val="24"/>
        </w:rPr>
        <w:t>…………………………………………………………………………………..</w:t>
      </w:r>
    </w:p>
    <w:p>
      <w:pPr>
        <w:jc w:val="both"/>
        <w:rPr>
          <w:sz w:val="32"/>
          <w:szCs w:val="24"/>
        </w:rPr>
      </w:pPr>
      <w:r>
        <w:rPr>
          <w:sz w:val="32"/>
          <w:szCs w:val="24"/>
        </w:rPr>
        <w:t>…………………………………………………………………………………..</w:t>
      </w:r>
    </w:p>
    <w:p>
      <w:pPr>
        <w:jc w:val="both"/>
        <w:rPr>
          <w:sz w:val="32"/>
          <w:szCs w:val="24"/>
        </w:rPr>
      </w:pPr>
      <w:r>
        <w:rPr>
          <w:sz w:val="32"/>
          <w:szCs w:val="24"/>
        </w:rPr>
        <w:t>…………………………………………………………………………………..</w:t>
      </w:r>
    </w:p>
    <w:p>
      <w:pPr>
        <w:jc w:val="both"/>
        <w:rPr>
          <w:sz w:val="32"/>
          <w:szCs w:val="24"/>
        </w:rPr>
      </w:pPr>
      <w:r>
        <w:rPr>
          <w:sz w:val="32"/>
          <w:szCs w:val="24"/>
        </w:rPr>
        <w:t>…………………………………………………………………………………..</w:t>
      </w:r>
    </w:p>
    <w:p>
      <w:pPr>
        <w:jc w:val="both"/>
        <w:rPr>
          <w:sz w:val="32"/>
          <w:szCs w:val="24"/>
        </w:rPr>
      </w:pPr>
      <w:r>
        <w:rPr>
          <w:sz w:val="32"/>
          <w:szCs w:val="24"/>
        </w:rPr>
        <w:t>…………………………………………………………………………………..</w:t>
      </w:r>
    </w:p>
    <w:p>
      <w:pPr>
        <w:jc w:val="both"/>
        <w:rPr>
          <w:sz w:val="32"/>
          <w:szCs w:val="24"/>
        </w:rPr>
      </w:pPr>
      <w:r>
        <w:rPr>
          <w:sz w:val="32"/>
          <w:szCs w:val="24"/>
        </w:rPr>
        <w:t>…………………………………………………………………………………..</w:t>
      </w:r>
    </w:p>
    <w:p>
      <w:pPr>
        <w:rPr>
          <w:sz w:val="32"/>
          <w:szCs w:val="24"/>
        </w:rPr>
      </w:pPr>
    </w:p>
    <w:sectPr>
      <w:headerReference w:type="default" r:id="rId7"/>
      <w:footerReference w:type="default" r:id="rId8"/>
      <w:pgSz w:w="11906" w:h="16838" w:code="9"/>
      <w:pgMar w:top="0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@MS Gothi">
    <w:altName w:val="@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76"/>
      <w:gridCol w:w="2028"/>
    </w:tblGrid>
    <w:tr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Ref : SBM-B-PRE-FE-010-02 Version : 2</w:t>
          </w: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061"/>
          </w:tblGrid>
          <w:tr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>
                <w:pPr>
                  <w:jc w:val="center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2" name="Image 100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SBM - Biologie médicale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</w:r>
              </w:p>
            </w:tc>
          </w:tr>
        </w:tbl>
        <w:p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Formulaire CHV Cytologie - Immunophénotypage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SBM-B-PRE-FE-010-02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2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21-09-2023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4" name="Image 10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5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50A0"/>
    <w:multiLevelType w:val="hybridMultilevel"/>
    <w:tmpl w:val="A79E0CA2"/>
    <w:lvl w:ilvl="0" w:tplc="EBC0D8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MS Gothi" w:eastAsia="@MS Gothi" w:hAnsi="@MS Gothi" w:hint="default"/>
      </w:rPr>
    </w:lvl>
    <w:lvl w:ilvl="1" w:tplc="1108C1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26CEC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30EF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144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36A2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842C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309E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4566B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3F43A-8FA6-4A8D-AF85-8BB2159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Times New Roman" w:eastAsia="Times New Roman" w:hAnsi="Times New Roman"/>
    </w:rPr>
  </w:style>
  <w:style w:type="table" w:styleId="Grilledutableau">
    <w:name w:val="Table Grid"/>
    <w:basedOn w:val="TableauNormal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accompagner OBLIGATOIREMENT votre demande d’envoi de prélèvements afin d’assurer une interprétation biologique adéquate et une communication de résultats en urgence si nécessaire</vt:lpstr>
    </vt:vector>
  </TitlesOfParts>
  <Company>APHP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accompagner OBLIGATOIREMENT votre demande d’envoi de prélèvements afin d’assurer une interprétation biologique adéquate et une communication de résultats en urgence si nécessaire</dc:title>
  <dc:creator>3081140</dc:creator>
  <cp:lastModifiedBy>PALETTE Catherine</cp:lastModifiedBy>
  <cp:revision>5</cp:revision>
  <cp:lastPrinted>2018-10-16T12:32:00Z</cp:lastPrinted>
  <dcterms:created xsi:type="dcterms:W3CDTF">2023-09-13T18:04:00Z</dcterms:created>
  <dcterms:modified xsi:type="dcterms:W3CDTF">2023-09-21T18:26:00Z</dcterms:modified>
</cp:coreProperties>
</file>